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94162" w:rsidRPr="00194162" w:rsidRDefault="00194162" w:rsidP="0019416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</w:p>
    <w:p w:rsidR="00194162" w:rsidRPr="005646B2" w:rsidRDefault="00194162" w:rsidP="00194162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color w:val="000000" w:themeColor="text1"/>
          <w:sz w:val="24"/>
          <w:szCs w:val="24"/>
          <w:lang w:eastAsia="en-US"/>
        </w:rPr>
      </w:pPr>
      <w:bookmarkStart w:id="0" w:name="_GoBack"/>
      <w:r w:rsidRPr="005646B2">
        <w:rPr>
          <w:rFonts w:eastAsiaTheme="minorHAnsi" w:cs="Arial"/>
          <w:color w:val="000000" w:themeColor="text1"/>
          <w:sz w:val="24"/>
          <w:szCs w:val="24"/>
          <w:lang w:eastAsia="en-US"/>
        </w:rPr>
        <w:t xml:space="preserve">D’acord amb l’objecte de la contractació, </w:t>
      </w:r>
      <w:r w:rsidRPr="005646B2">
        <w:rPr>
          <w:rFonts w:eastAsiaTheme="minorHAnsi" w:cs="Arial"/>
          <w:b/>
          <w:color w:val="000000" w:themeColor="text1"/>
          <w:sz w:val="24"/>
          <w:szCs w:val="24"/>
          <w:lang w:eastAsia="en-US"/>
        </w:rPr>
        <w:t>el contracte no es divideix en lots</w:t>
      </w:r>
      <w:r w:rsidRPr="005646B2">
        <w:rPr>
          <w:rFonts w:eastAsiaTheme="minorHAnsi" w:cs="Arial"/>
          <w:color w:val="000000" w:themeColor="text1"/>
          <w:sz w:val="24"/>
          <w:szCs w:val="24"/>
          <w:lang w:eastAsia="en-US"/>
        </w:rPr>
        <w:t xml:space="preserve">, ja que suposaria incórrer en el supòsit següent establert al Considerant 78 de la Directiva 2014/24/UE i en supòsit de l’article </w:t>
      </w:r>
      <w:r w:rsidRPr="005646B2">
        <w:rPr>
          <w:rFonts w:eastAsiaTheme="minorHAnsi" w:cs="Arial"/>
          <w:b/>
          <w:bCs/>
          <w:color w:val="000000" w:themeColor="text1"/>
          <w:sz w:val="24"/>
          <w:szCs w:val="24"/>
          <w:lang w:eastAsia="en-US"/>
        </w:rPr>
        <w:t xml:space="preserve">99.3.b </w:t>
      </w:r>
      <w:r w:rsidRPr="005646B2">
        <w:rPr>
          <w:rFonts w:eastAsiaTheme="minorHAnsi" w:cs="Arial"/>
          <w:color w:val="000000" w:themeColor="text1"/>
          <w:sz w:val="24"/>
          <w:szCs w:val="24"/>
          <w:lang w:eastAsia="en-US"/>
        </w:rPr>
        <w:t>de la LCSP</w:t>
      </w:r>
    </w:p>
    <w:p w:rsidR="00194162" w:rsidRPr="005646B2" w:rsidRDefault="00194162" w:rsidP="00194162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color w:val="000000" w:themeColor="text1"/>
          <w:sz w:val="24"/>
          <w:szCs w:val="24"/>
          <w:lang w:eastAsia="en-US"/>
        </w:rPr>
      </w:pPr>
    </w:p>
    <w:p w:rsidR="00194162" w:rsidRPr="005646B2" w:rsidRDefault="003A0808" w:rsidP="00194162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color w:val="000000" w:themeColor="text1"/>
          <w:sz w:val="24"/>
          <w:szCs w:val="24"/>
          <w:lang w:eastAsia="en-US"/>
        </w:rPr>
      </w:pPr>
      <w:r w:rsidRPr="005646B2">
        <w:rPr>
          <w:rFonts w:eastAsiaTheme="minorHAnsi" w:cs="Arial"/>
          <w:color w:val="000000" w:themeColor="text1"/>
          <w:sz w:val="24"/>
          <w:szCs w:val="24"/>
          <w:lang w:eastAsia="en-US"/>
        </w:rPr>
        <w:t>Així, l’</w:t>
      </w:r>
      <w:r w:rsidR="00194162" w:rsidRPr="005646B2">
        <w:rPr>
          <w:rFonts w:eastAsiaTheme="minorHAnsi" w:cs="Arial"/>
          <w:color w:val="000000" w:themeColor="text1"/>
          <w:sz w:val="24"/>
          <w:szCs w:val="24"/>
          <w:lang w:eastAsia="en-US"/>
        </w:rPr>
        <w:t>objecte de la contractació tal i com est</w:t>
      </w:r>
      <w:r w:rsidRPr="005646B2">
        <w:rPr>
          <w:rFonts w:eastAsiaTheme="minorHAnsi" w:cs="Arial"/>
          <w:color w:val="000000" w:themeColor="text1"/>
          <w:sz w:val="24"/>
          <w:szCs w:val="24"/>
          <w:lang w:eastAsia="en-US"/>
        </w:rPr>
        <w:t>à</w:t>
      </w:r>
      <w:r w:rsidR="00194162" w:rsidRPr="005646B2">
        <w:rPr>
          <w:rFonts w:eastAsiaTheme="minorHAnsi" w:cs="Arial"/>
          <w:color w:val="000000" w:themeColor="text1"/>
          <w:sz w:val="24"/>
          <w:szCs w:val="24"/>
          <w:lang w:eastAsia="en-US"/>
        </w:rPr>
        <w:t xml:space="preserve"> definit en el plec de prescripcions </w:t>
      </w:r>
      <w:r w:rsidRPr="005646B2">
        <w:rPr>
          <w:rFonts w:eastAsiaTheme="minorHAnsi" w:cs="Arial"/>
          <w:color w:val="000000" w:themeColor="text1"/>
          <w:sz w:val="24"/>
          <w:szCs w:val="24"/>
          <w:lang w:eastAsia="en-US"/>
        </w:rPr>
        <w:t>tècniques constitueix</w:t>
      </w:r>
      <w:r w:rsidR="00194162" w:rsidRPr="005646B2">
        <w:rPr>
          <w:rFonts w:eastAsiaTheme="minorHAnsi" w:cs="Arial"/>
          <w:color w:val="000000" w:themeColor="text1"/>
          <w:sz w:val="24"/>
          <w:szCs w:val="24"/>
          <w:lang w:eastAsia="en-US"/>
        </w:rPr>
        <w:t xml:space="preserve"> una unitat operativa o funcional i no en procedeix l’execució separada, pels següents motius previstos en l’article </w:t>
      </w:r>
      <w:r w:rsidR="00194162" w:rsidRPr="005646B2">
        <w:rPr>
          <w:rFonts w:eastAsiaTheme="minorHAnsi" w:cs="Arial"/>
          <w:b/>
          <w:bCs/>
          <w:color w:val="000000" w:themeColor="text1"/>
          <w:sz w:val="24"/>
          <w:szCs w:val="24"/>
          <w:lang w:eastAsia="en-US"/>
        </w:rPr>
        <w:t xml:space="preserve">99.3.b </w:t>
      </w:r>
      <w:r w:rsidR="00194162" w:rsidRPr="005646B2">
        <w:rPr>
          <w:rFonts w:eastAsiaTheme="minorHAnsi" w:cs="Arial"/>
          <w:color w:val="000000" w:themeColor="text1"/>
          <w:sz w:val="24"/>
          <w:szCs w:val="24"/>
          <w:lang w:eastAsia="en-US"/>
        </w:rPr>
        <w:t>de la LCSP:</w:t>
      </w:r>
    </w:p>
    <w:p w:rsidR="00194162" w:rsidRPr="005646B2" w:rsidRDefault="00194162" w:rsidP="00194162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color w:val="000000" w:themeColor="text1"/>
          <w:sz w:val="24"/>
          <w:szCs w:val="24"/>
          <w:lang w:eastAsia="en-US"/>
        </w:rPr>
      </w:pPr>
    </w:p>
    <w:p w:rsidR="00194162" w:rsidRPr="005646B2" w:rsidRDefault="00194162" w:rsidP="0019416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eastAsiaTheme="minorHAnsi" w:cs="Arial"/>
          <w:color w:val="000000" w:themeColor="text1"/>
          <w:sz w:val="24"/>
          <w:szCs w:val="24"/>
          <w:lang w:eastAsia="en-US"/>
        </w:rPr>
      </w:pPr>
      <w:r w:rsidRPr="005646B2">
        <w:rPr>
          <w:rFonts w:eastAsiaTheme="minorHAnsi" w:cs="Arial"/>
          <w:color w:val="000000" w:themeColor="text1"/>
          <w:sz w:val="24"/>
          <w:szCs w:val="24"/>
          <w:lang w:eastAsia="en-US"/>
        </w:rPr>
        <w:t>• la divisió en lots que en dificultaria l’execució correcta des del punt de vista tècnic</w:t>
      </w:r>
    </w:p>
    <w:p w:rsidR="00194162" w:rsidRPr="005646B2" w:rsidRDefault="00194162" w:rsidP="0019416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eastAsiaTheme="minorHAnsi" w:cs="Arial"/>
          <w:color w:val="000000" w:themeColor="text1"/>
          <w:sz w:val="24"/>
          <w:szCs w:val="24"/>
          <w:lang w:eastAsia="en-US"/>
        </w:rPr>
      </w:pPr>
      <w:r w:rsidRPr="005646B2">
        <w:rPr>
          <w:rFonts w:eastAsiaTheme="minorHAnsi" w:cs="Arial"/>
          <w:color w:val="000000" w:themeColor="text1"/>
          <w:sz w:val="24"/>
          <w:szCs w:val="24"/>
          <w:lang w:eastAsia="en-US"/>
        </w:rPr>
        <w:t>• la necessitat de coordinar l’execució de diferents prestacions es veuria impossibilitada per la seva divisió en lots i l’execució per una pluralitat de contractistes</w:t>
      </w:r>
    </w:p>
    <w:bookmarkEnd w:id="0"/>
    <w:p w:rsidR="002D798C" w:rsidRDefault="002D798C" w:rsidP="002D798C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color w:val="C00000"/>
          <w:sz w:val="24"/>
          <w:szCs w:val="24"/>
          <w:lang w:eastAsia="en-US"/>
        </w:rPr>
      </w:pPr>
    </w:p>
    <w:sectPr w:rsidR="002D798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94162"/>
    <w:rsid w:val="001F2DFC"/>
    <w:rsid w:val="002258BD"/>
    <w:rsid w:val="00227795"/>
    <w:rsid w:val="00233B64"/>
    <w:rsid w:val="00241350"/>
    <w:rsid w:val="00247B10"/>
    <w:rsid w:val="002A1ACB"/>
    <w:rsid w:val="002C33FB"/>
    <w:rsid w:val="002D798C"/>
    <w:rsid w:val="00312C38"/>
    <w:rsid w:val="0037780A"/>
    <w:rsid w:val="003A0808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646B2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805F7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546C30-1E12-46CF-B06F-B6EB6674C0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936788-3006-4E1E-83AA-5BF84CCB916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2291D0-6AD4-4F79-B989-589E5FAC90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Vals Barbera, Xavier</cp:lastModifiedBy>
  <cp:revision>8</cp:revision>
  <cp:lastPrinted>2018-12-18T08:58:00Z</cp:lastPrinted>
  <dcterms:created xsi:type="dcterms:W3CDTF">2023-03-10T13:21:00Z</dcterms:created>
  <dcterms:modified xsi:type="dcterms:W3CDTF">2024-11-21T13:53:00Z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